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 N 6</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Новосибирской области</w:t>
      </w:r>
    </w:p>
    <w:p>
      <w:pPr>
        <w:pStyle w:val="Style_1"/>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26.12.2018 N 570-п</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ПОРЯДОК</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ПРЕДОСТАВЛЕНИЯ ГРАНТОВ В ФОРМЕ СУБСИДИЙ РЕСУРСНЫМ ЦЕНТРАМ</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МУНИЦИПАЛЬНЫХ РАЙОНОВ И ГОРОДСКИХ ОКРУГОВ НОВОСИБИРСКОЙ</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ОБЛАСТИ ИЗ ОБЛАСТНОГО БЮДЖЕТА НОВОСИБИРСКОЙ ОБЛАСТИ</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РЕАЛИЗАЦИЮ СОЦИАЛЬНО ЗНАЧИМЫХ ПРОЕКТОВ, НАПРАВЛЕННЫХ</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РАЗВИТИЕ ОБЩЕСТВЕННЫХ ИНИЦИАТИВ И СОЦИАЛЬНО</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ОРИЕНТИРОВАННЫХ НЕКОММЕРЧЕСКИХ ОРГАНИЗАЦИЙ</w:t>
      </w:r>
    </w:p>
    <w:p>
      <w:pPr>
        <w:pStyle w:val="Style_1"/>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tcBorders>
              <w:top w:val="none"/>
              <w:left w:val="none"/>
              <w:bottom w:val="none"/>
              <w:right w:val="none"/>
            </w:tcBorders>
            <w:shd w:val="clear" w:color="ced3f1" w:fill="ced3f1"/>
            <w:tcMar>
              <w:left w:w="0" w:type="dxa"/>
              <w:top w:w="0" w:type="dxa"/>
              <w:right w:w="0" w:type="dxa"/>
              <w:bottom w:w="0" w:type="dxa"/>
            </w:tcMar>
            <w:vAlign w:val="top"/>
          </w:tcPr>
          <w:p>
            <w:pPr>
              <w:pStyle w:val="Style_1"/>
              <w:spacing w:before="0" w:after="0" w:line="240" w:lineRule="auto"/>
              <w:jc w:val="left"/>
              <w:rPr>
                <w:sz w:val="24"/>
              </w:rPr>
            </w:pP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jc w:val="left"/>
              <w:rPr>
                <w:sz w:val="24"/>
              </w:rPr>
            </w:pPr>
          </w:p>
        </w:tc>
        <w:tc>
          <w:tcPr>
            <w:tcW w:w="9921" w:type="dxa"/>
            <w:tcBorders>
              <w:top w:val="none"/>
              <w:left w:val="none"/>
              <w:bottom w:val="none"/>
              <w:right w:val="none"/>
            </w:tcBorders>
            <w:shd w:val="clear" w:color="f4f3f8" w:fill="f4f3f8"/>
            <w:tcMar>
              <w:left w:w="0" w:type="dxa"/>
              <w:top w:w="113" w:type="dxa"/>
              <w:right w:w="0" w:type="dxa"/>
              <w:bottom w:w="113"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Новосибирской области</w:t>
            </w:r>
          </w:p>
          <w:p>
            <w:pPr>
              <w:pStyle w:val="Style_1"/>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15.07.2024 N 313-п)</w:t>
            </w:r>
          </w:p>
        </w:tc>
        <w:tc>
          <w:tcPr>
            <w:tcW w:w="113" w:type="dxa"/>
            <w:tcBorders>
              <w:top w:val="none"/>
              <w:left w:val="none"/>
              <w:bottom w:val="none"/>
              <w:right w:val="none"/>
            </w:tcBorders>
            <w:shd w:val="clear" w:color="f4f3f8" w:fill="f4f3f8"/>
            <w:tcMar>
              <w:left w:w="0" w:type="dxa"/>
              <w:top w:w="0" w:type="dxa"/>
              <w:right w:w="0" w:type="dxa"/>
              <w:bottom w:w="0" w:type="dxa"/>
            </w:tcMar>
            <w:vAlign w:val="top"/>
          </w:tcPr>
          <w:p>
            <w:pPr>
              <w:pStyle w:val="Style_1"/>
              <w:spacing w:before="0" w:after="0" w:line="240" w:lineRule="auto"/>
              <w:ind w:left="0" w:firstLine="0"/>
              <w:jc w:val="center"/>
              <w:rPr>
                <w:rFonts w:ascii="Arial" w:hAnsi="Arial" w:eastAsia="Arial" w:cs="Arial"/>
                <w:b w:val="0"/>
                <w:i w:val="0"/>
                <w:strike w:val="0"/>
                <w:color w:val="392c69"/>
                <w:sz w:val="16"/>
              </w:rPr>
            </w:pP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предоставления грантов в форме субсидий ресурсным центрам муниципальных районов и городских округов Новосибирской области из областного бюджета Новосибирской области на реализацию социально значимых проектов, направленных на развитие общественных инициатив и социально ориентированных некоммерческих организаций (далее - Порядок), определяет цели, условия предоставления из областного бюджета Новосибирской области (далее - областной бюджет) грантов в форме субсидий (далее - гранты) ресурсным центрам муниципальных районов и городских округов Новосибирской области, направленных на развитие общественных инициатив и социально ориентированных некоммерческих организаций (далее - СО НКО), на реализацию социально значимых проектов (далее - проект ресурсного центра) при реализации мероприятий государственной </w:t>
      </w:r>
      <w:hyperlink r:id="rId9">
        <w:r>
          <w:rPr>
            <w:rFonts w:ascii="Arial" w:hAnsi="Arial" w:eastAsia="Arial" w:cs="Arial"/>
            <w:b w:val="0"/>
            <w:i w:val="0"/>
            <w:strike w:val="0"/>
            <w:color w:val="0000ff"/>
            <w:sz w:val="16"/>
          </w:rPr>
          <w:t xml:space="preserve">программы</w:t>
        </w:r>
      </w:hyperlink>
      <w:r>
        <w:rPr>
          <w:rFonts w:ascii="Arial" w:hAnsi="Arial" w:eastAsia="Arial" w:cs="Arial"/>
          <w:b w:val="0"/>
          <w:i w:val="0"/>
          <w:strike w:val="0"/>
          <w:sz w:val="16"/>
        </w:rPr>
        <w:t xml:space="preserve"> Новосибирской области "Развитие институтов региональной политики и гражданского общества в Новосибирской области" (далее - государственная программа).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разработан в соответствии с </w:t>
      </w:r>
      <w:hyperlink r:id="rId10">
        <w:r>
          <w:rPr>
            <w:rFonts w:ascii="Arial" w:hAnsi="Arial" w:eastAsia="Arial" w:cs="Arial"/>
            <w:b w:val="0"/>
            <w:i w:val="0"/>
            <w:strike w:val="0"/>
            <w:color w:val="0000ff"/>
            <w:sz w:val="16"/>
          </w:rPr>
          <w:t xml:space="preserve">пунктом 4 статьи 78.1</w:t>
        </w:r>
      </w:hyperlink>
      <w:r>
        <w:rPr>
          <w:rFonts w:ascii="Arial" w:hAnsi="Arial" w:eastAsia="Arial" w:cs="Arial"/>
          <w:b w:val="0"/>
          <w:i w:val="0"/>
          <w:strike w:val="0"/>
          <w:sz w:val="16"/>
        </w:rPr>
        <w:t xml:space="preserve"> Бюджетного кодекса Российской Федерации, Федеральным </w:t>
      </w:r>
      <w:hyperlink r:id="rId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12.01.1996 N 7-ФЗ "О некоммерческих организациях", </w:t>
      </w:r>
      <w:hyperlink r:id="rId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07.11.2011 N 139-ОЗ "О государственной поддержке социально ориентированных некоммерческих организаций в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bookmarkStart w:id="1" w:name="Par18"/>
      <w:bookmarkEnd w:id="1"/>
      <w:r>
        <w:rPr>
          <w:rFonts w:ascii="Arial" w:hAnsi="Arial" w:eastAsia="Arial" w:cs="Arial"/>
          <w:b w:val="0"/>
          <w:i w:val="0"/>
          <w:strike w:val="0"/>
          <w:sz w:val="16"/>
        </w:rPr>
        <w:t xml:space="preserve">3. Министерство региональной политики Новосибирской области (далее - министерство) является областным исполнительным органом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bookmarkStart w:id="2" w:name="Par20"/>
      <w:bookmarkEnd w:id="2"/>
      <w:r>
        <w:rPr>
          <w:rFonts w:ascii="Arial" w:hAnsi="Arial" w:eastAsia="Arial" w:cs="Arial"/>
          <w:b w:val="0"/>
          <w:i w:val="0"/>
          <w:strike w:val="0"/>
          <w:sz w:val="16"/>
        </w:rPr>
        <w:t xml:space="preserve">4. Гранты предоставляются министерством в целях финансового обеспечения затрат при выполнении мероприятий, предусмотренных государственной программой, на реализацию проектов ресурсных центров.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счет предоставленного гранта запрещается осуществлять расходы, напрямую не связанные с реализацией проекта ресурсного центра.</w:t>
      </w:r>
    </w:p>
    <w:p>
      <w:pPr>
        <w:pStyle w:val="Style_1"/>
        <w:spacing w:before="160" w:after="0" w:line="240" w:lineRule="auto"/>
        <w:ind w:left="0" w:firstLine="540"/>
        <w:jc w:val="both"/>
        <w:rPr>
          <w:rFonts w:ascii="Arial" w:hAnsi="Arial" w:eastAsia="Arial" w:cs="Arial"/>
          <w:b w:val="0"/>
          <w:i w:val="0"/>
          <w:strike w:val="0"/>
          <w:sz w:val="16"/>
        </w:rPr>
      </w:pPr>
      <w:bookmarkStart w:id="3" w:name="Par22"/>
      <w:bookmarkEnd w:id="3"/>
      <w:r>
        <w:rPr>
          <w:rFonts w:ascii="Arial" w:hAnsi="Arial" w:eastAsia="Arial" w:cs="Arial"/>
          <w:b w:val="0"/>
          <w:i w:val="0"/>
          <w:strike w:val="0"/>
          <w:sz w:val="16"/>
        </w:rPr>
        <w:t xml:space="preserve">5. К категории получателей грантов, имеющих право на получение грантов, относятся социально ориентированные некоммерческие организации, зарегистрированные в установленном порядке на территории Новосибирской области и осуществляющие уставную деятельность в соответствии с Федеральным </w:t>
      </w:r>
      <w:hyperlink r:id="rId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12.01.1996 N 7-ФЗ "О некоммерческих организациях" и </w:t>
      </w:r>
      <w:hyperlink r:id="rId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Новосибирской области от 07.11.2011 N 139-ОЗ "О государственной поддержке социально ориентированных некоммерческих организаций в Новосибирской области", за исключением государственных (муниципальных) учреждений (далее - ресурсные центры).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Порядок проведения отбора ресурсных</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центров для предоставления грантов</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Гранты предоставляются по результатам отбора, организатором которого является министерство.</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Отбор осуществляется на конкурентной основе путем проведения конкурса исходя из наилучших условий достижения результатов предоставления гранта.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проведении конкурса (объявление о проведении конкурса, его отмене, информация о ходе и результатах конкурса) размещается министерством в информационно-телекоммуникационной сети "Интернет" на информационном ресурсе, на котором обеспечивается проведение конкурсного отбора (далее - информационный ресурс конкурсного отбора) с размещением на едином портале указателей страниц сайта информационного ресурса конкурсного отбора, информационного ресурса об оказании финансовой поддержки социально ориентированным некоммерческим организациям, а также на официальном сайте министерства в сети "Интернет" не ранее размещения информации о гранте в соответствии с  настоящего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целях проведения отбора ресурсных центров для предоставления грантов министерство:</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издает приказ об объявлении конкурса, которым: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определяет: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направления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сроки проведения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начала подачи и окончания приема заявок на участие в конкурсе (далее -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информационный ресурс конкурсного отбора;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реализации проектов ресурсными центрами;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утверждает: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форму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положение о конкурсной комиссии для рассмотрения и оценки заявок ресурсных центров (далее - конкурсная комиссия) и состав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устанавливает максимальный размер гранта;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размещает объявление о проведении конкурса и Порядок в соответствии с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организует консультирование по вопросам подготовки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организует прием, регистрацию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осуществляет проверку поданных заявок в соответствии с ,  Порядка, передает на рассмотрение конкурсной комиссии заявки, допущенные до участия в конкурсе;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обеспечивает сохранность поданных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организует работу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 основании решения конкурсной комиссии издает приказ о результатах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заключает соглашения о предоставлении грантов (далее - соглашения).</w:t>
      </w:r>
    </w:p>
    <w:p>
      <w:pPr>
        <w:pStyle w:val="Style_1"/>
        <w:spacing w:before="160" w:after="0" w:line="240" w:lineRule="auto"/>
        <w:ind w:left="0" w:firstLine="540"/>
        <w:jc w:val="both"/>
        <w:rPr>
          <w:rFonts w:ascii="Arial" w:hAnsi="Arial" w:eastAsia="Arial" w:cs="Arial"/>
          <w:b w:val="0"/>
          <w:i w:val="0"/>
          <w:strike w:val="0"/>
          <w:sz w:val="16"/>
        </w:rPr>
      </w:pPr>
      <w:bookmarkStart w:id="4" w:name="Par50"/>
      <w:bookmarkEnd w:id="4"/>
      <w:r>
        <w:rPr>
          <w:rFonts w:ascii="Arial" w:hAnsi="Arial" w:eastAsia="Arial" w:cs="Arial"/>
          <w:b w:val="0"/>
          <w:i w:val="0"/>
          <w:strike w:val="0"/>
          <w:sz w:val="16"/>
        </w:rPr>
        <w:t xml:space="preserve">8. Не позднее чем за два рабочих дня до даты окончания срока подачи заявок ресурсными центрами министерство вправе отменить конкурс путем издания соответствующего приказа.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принимает решение об отмене конкурса в случае уменьшения или отзыва ранее доведенных лимитов бюджетных ассигнований на предоставление грантов, установленных министерству на текущий финансовый год в пределах лимитов бюджетных обязательств в соответствии со сводной бюджетной росписью и кассовым планом областного бюджета, приводящих к невозможности предоставления грантов.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Ресурсные центры, подавшие заявки, информируются об отмене проведения конкурса на информационном ресурсе конкурсного отбора, на официальном сайте министерства.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 считается отмененным со дня размещения объявления о его отмене на информационном ресурсе конкурсного отбора, на официальном сайте министерства.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окончания срока отмены конкурса в соответствии с  настоящего пункта 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w:t>
      </w:r>
      <w:hyperlink r:id="rId16">
        <w:r>
          <w:rPr>
            <w:rFonts w:ascii="Arial" w:hAnsi="Arial" w:eastAsia="Arial" w:cs="Arial"/>
            <w:b w:val="0"/>
            <w:i w:val="0"/>
            <w:strike w:val="0"/>
            <w:color w:val="0000ff"/>
            <w:sz w:val="16"/>
          </w:rPr>
          <w:t xml:space="preserve">пунктом 3 статьи 401</w:t>
        </w:r>
      </w:hyperlink>
      <w:r>
        <w:rPr>
          <w:rFonts w:ascii="Arial" w:hAnsi="Arial" w:eastAsia="Arial" w:cs="Arial"/>
          <w:b w:val="0"/>
          <w:i w:val="0"/>
          <w:strike w:val="0"/>
          <w:sz w:val="16"/>
        </w:rPr>
        <w:t xml:space="preserve"> Гражданского кодекса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bookmarkStart w:id="5" w:name="Par55"/>
      <w:bookmarkEnd w:id="5"/>
      <w:r>
        <w:rPr>
          <w:rFonts w:ascii="Arial" w:hAnsi="Arial" w:eastAsia="Arial" w:cs="Arial"/>
          <w:b w:val="0"/>
          <w:i w:val="0"/>
          <w:strike w:val="0"/>
          <w:sz w:val="16"/>
        </w:rPr>
        <w:t xml:space="preserve">9. Объявление о проведении конкурса формируется в электронном виде и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не позднее чем за 30 календарных дней до окончания срока приема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Объявление о проведении конкурса содержит: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сроки проведения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дату начала подачи и окончания приема предложений (заявок) ресурсных центров, которая не может быть ранее 30-го календарного дня, следующего за днем размещения объявления о проведении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наименование, место нахождения, почтовый адрес, адрес электронной почты министерства;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результаты предоставления гранта;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доменное имя и (или) сетевой адрес и (или) указатель страниц сайта в сети "Интернет";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требования к ресурсным центрам в соответствии с  Порядка и перечню документов, представляемых ресурсными центрами для подтверждения их соответствия указанным требованиям;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порядок подачи заявок ресурсными центрами и требования, предъявляемые к форме и содержанию заявок, подаваемых ресурсными центрами, в соответствии с  -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порядок отзыва заявок ресурсными центрами, порядок возврата заявок ресурсными центрами на доработку, определяющий в том числе основания для возврата заявок ресурсным центрам на доработку, порядок внесения изменений в заявки ресурсными центрами в соответствии с  Порядка, порядок отклонения заявок в соответствии с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правила рассмотрения и оценки заявок, порядок отклонения заявок ресурсных центров в соответствии с  - , ,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порядок предоставления ресурсным центрам разъяснений положений объявления о проведении конкурса, даты начала и окончания срока такого предоставления, в том числе номера телефонов и адреса электронной почты, по которым министерство предоставляет ресурсным центрам разъяснения положений объявления о проведении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информацию об объеме распределяемого гранта в рамках конкурса, о порядке расчета размера гранта в соответствии с  Порядка, правилах распределения гранта в соответствии с  Порядка, максимальном размере гранта, установленном приказом министерства;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срок, в течение которого ресурсные центры - победители конкурса должны подписать соглашение;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условия признания ресурсного центра - победителя конкурса уклонившимся от заключения соглашения;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дату размещения протокола подведения итогов конкурса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которая не может быть позднее пятого календарного дня, следующего за днем определения победителя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Не позднее чем за один рабочий день до даты окончания срока подачи заявок ресурсными центрами объявление об отмене конкурса формируется в электронной форме и размещается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и содержит информацию о причинах отмены конкурса.</w:t>
      </w:r>
    </w:p>
    <w:p>
      <w:pPr>
        <w:pStyle w:val="Style_1"/>
        <w:spacing w:before="160" w:after="0" w:line="240" w:lineRule="auto"/>
        <w:ind w:left="0" w:firstLine="540"/>
        <w:jc w:val="both"/>
        <w:rPr>
          <w:rFonts w:ascii="Arial" w:hAnsi="Arial" w:eastAsia="Arial" w:cs="Arial"/>
          <w:b w:val="0"/>
          <w:i w:val="0"/>
          <w:strike w:val="0"/>
          <w:sz w:val="16"/>
        </w:rPr>
      </w:pPr>
      <w:bookmarkStart w:id="6" w:name="Par72"/>
      <w:bookmarkEnd w:id="6"/>
      <w:r>
        <w:rPr>
          <w:rFonts w:ascii="Arial" w:hAnsi="Arial" w:eastAsia="Arial" w:cs="Arial"/>
          <w:b w:val="0"/>
          <w:i w:val="0"/>
          <w:strike w:val="0"/>
          <w:sz w:val="16"/>
        </w:rPr>
        <w:t xml:space="preserve">12. Ресурсный центр должен соответствовать следующим требованиям: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 дату подачи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ресурсный центр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ресурсный центр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ресурсный центр не находится в составляемых в рамках реализации полномочий, предусмотренных </w:t>
      </w:r>
      <w:hyperlink r:id="rId17">
        <w:r>
          <w:rPr>
            <w:rFonts w:ascii="Arial" w:hAnsi="Arial" w:eastAsia="Arial" w:cs="Arial"/>
            <w:b w:val="0"/>
            <w:i w:val="0"/>
            <w:strike w:val="0"/>
            <w:color w:val="0000ff"/>
            <w:sz w:val="16"/>
          </w:rPr>
          <w:t xml:space="preserve">главой VII</w:t>
        </w:r>
      </w:hyperlink>
      <w:r>
        <w:rPr>
          <w:rFonts w:ascii="Arial" w:hAnsi="Arial" w:eastAsia="Arial" w:cs="Arial"/>
          <w:b w:val="0"/>
          <w:i w:val="0"/>
          <w:strike w:val="0"/>
          <w:sz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ресурсный центр не получает средства из областного бюджета на основании иных нормативных правовых актов Новосибирской области на цели, установленные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ресурсный центр не является иностранным агентом в соответствии с Федеральным </w:t>
      </w:r>
      <w:hyperlink r:id="rId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255-ФЗ "О контроле за деятельностью лиц, находящихся под иностранным влиянием";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 ресурсного центра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ресурсный центр не находится в процессе реорганизации (за исключением реорганизации в форме присоединения организации другого юридического лица), ликвидации, в отношении него не введена процедура банкротства, деятельность ресурсного центра не приостановлена в порядке, предусмотренном законодательством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ресурсного центра;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дату не ранее начала срока подачи заявки у ресурсного центра на едином налоговом счете отсутствует или не превышает размер, определенный </w:t>
      </w:r>
      <w:hyperlink r:id="rId19">
        <w:r>
          <w:rPr>
            <w:rFonts w:ascii="Arial" w:hAnsi="Arial" w:eastAsia="Arial" w:cs="Arial"/>
            <w:b w:val="0"/>
            <w:i w:val="0"/>
            <w:strike w:val="0"/>
            <w:color w:val="0000ff"/>
            <w:sz w:val="16"/>
          </w:rPr>
          <w:t xml:space="preserve">пунктом 3 статьи 47</w:t>
        </w:r>
      </w:hyperlink>
      <w:r>
        <w:rPr>
          <w:rFonts w:ascii="Arial" w:hAnsi="Arial" w:eastAsia="Arial" w:cs="Arial"/>
          <w:b w:val="0"/>
          <w:i w:val="0"/>
          <w:strike w:val="0"/>
          <w:sz w:val="1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bookmarkStart w:id="7" w:name="Par83"/>
      <w:bookmarkEnd w:id="7"/>
      <w:r>
        <w:rPr>
          <w:rFonts w:ascii="Arial" w:hAnsi="Arial" w:eastAsia="Arial" w:cs="Arial"/>
          <w:b w:val="0"/>
          <w:i w:val="0"/>
          <w:strike w:val="0"/>
          <w:sz w:val="16"/>
        </w:rPr>
        <w:t xml:space="preserve">13. Для участия в конкурсе ресурсный центр представляет в министерство следующие документы:</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заявку о предоставлении гранта по форме, утвержденной приказом министерства об объявлении конкурса, которая в том числе включает: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ресурсного центра, основной государственный регистрационный номер, идентификационный номер налогоплательщика, сведения о руководителе проекта: опыт работы и достигнутые результаты по заявленной тематике проекта;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проект с постановкой проблемы, указанием целей и задач, содержания и сроков реализации запланированных мероприятий, планируемых результатов реализации проекта;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смету расходов на выполнение проекта за счет средств областного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информацию о согласии на публикацию (размещение) в сети "Интернет" информации о ресурсном центре, о подаваемой заявке;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согласие на обработку персональных данных физических лиц, если информация (в том числе документы), включенная в состав заявки, содержит такие данные;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информацию о соответствии ресурсного центра требованиям, указанным в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ресурсный центр вправе включить в состав заявки дополнительную информацию и документы в соответствии с критериями оценки заявок, установленными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справку о банковских реквизитах ресурсного центра, выданную банком или иной кредитной организацией;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копию действующей редакции устава ресурсного центра;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копии документов, подтверждающих полномочия лица на подачу заявки от имени ресурсного центра, в случае, если заявку подает лицо, сведения о котором как о лице, имеющем право без доверенности действовать от имени ресурсного центра, не содержатся в едином государственном реестре юридических лиц (далее - уполномоченное лицо), заверенные печатью (при наличии) ресурсного центра и подписью руководителя ресурсного центра или уполномоченного лица;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заверенную печатью (при наличии) ресурсного центра и подписью руководителя ресурсного центра или уполномоченного лица, копию муниципальной программы развития СО НКО и поддержки общественных инициатив (при наличии такой программы);</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заверенную печатью (при наличии) ресурсного центра и подписью руководителя ресурсного центра или уполномоченного лица копию документа, подтверждающего наличие помещения для работы ресурсного центра, с указанием площади помещения (договор аренды, документ, подтверждающий право собственности, договор безвозмездного пользования);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заверенную печатью (при наличии) ресурсного центра и подписью руководителя ресурсного центра или уполномоченного лица копию документа, подтверждающего наличие офисной техники или специализированного оборудования для ресурсного центра и проведения мероприятий (договор аренды, документ, подтверждающий право собственности, договор безвозмездного пользования).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Один ресурсный центр в рамках конкурса может подать не более одной заявки.</w:t>
      </w:r>
    </w:p>
    <w:p>
      <w:pPr>
        <w:pStyle w:val="Style_1"/>
        <w:spacing w:before="160" w:after="0" w:line="240" w:lineRule="auto"/>
        <w:ind w:left="0" w:firstLine="540"/>
        <w:jc w:val="both"/>
        <w:rPr>
          <w:rFonts w:ascii="Arial" w:hAnsi="Arial" w:eastAsia="Arial" w:cs="Arial"/>
          <w:b w:val="0"/>
          <w:i w:val="0"/>
          <w:strike w:val="0"/>
          <w:sz w:val="16"/>
        </w:rPr>
      </w:pPr>
      <w:bookmarkStart w:id="8" w:name="Par99"/>
      <w:bookmarkEnd w:id="8"/>
      <w:r>
        <w:rPr>
          <w:rFonts w:ascii="Arial" w:hAnsi="Arial" w:eastAsia="Arial" w:cs="Arial"/>
          <w:b w:val="0"/>
          <w:i w:val="0"/>
          <w:strike w:val="0"/>
          <w:sz w:val="16"/>
        </w:rPr>
        <w:t xml:space="preserve">15. Заявка и документы, указанные в  Порядка, в течение срока приема заявок подаются ресурсным центром в электронном виде посредством информационного ресурса конкурсного отбора и должны соответствовать следующим требованиям: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быть хорошо читаемы, преобразованы в электронную форму в формате DOC и (или) PDF путем сканирования документа на бумажном носителе с передачей цвета;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файл должен содержать один полный документ (сканировать документы необходимо целиком, а не постранично);</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название файла должно совпадать с заголовком документа или давать ясное понимание назначения документа.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Датой и временем подачи заявки является запись даты и времени подачи заявки в информационном ресурсе конкурсного отбора.</w:t>
      </w:r>
    </w:p>
    <w:p>
      <w:pPr>
        <w:pStyle w:val="Style_1"/>
        <w:spacing w:before="160" w:after="0" w:line="240" w:lineRule="auto"/>
        <w:ind w:left="0" w:firstLine="540"/>
        <w:jc w:val="both"/>
        <w:rPr>
          <w:rFonts w:ascii="Arial" w:hAnsi="Arial" w:eastAsia="Arial" w:cs="Arial"/>
          <w:b w:val="0"/>
          <w:i w:val="0"/>
          <w:strike w:val="0"/>
          <w:sz w:val="16"/>
        </w:rPr>
      </w:pPr>
      <w:bookmarkStart w:id="9" w:name="Par104"/>
      <w:bookmarkEnd w:id="9"/>
      <w:r>
        <w:rPr>
          <w:rFonts w:ascii="Arial" w:hAnsi="Arial" w:eastAsia="Arial" w:cs="Arial"/>
          <w:b w:val="0"/>
          <w:i w:val="0"/>
          <w:strike w:val="0"/>
          <w:sz w:val="16"/>
        </w:rPr>
        <w:t xml:space="preserve">16. Заявка может быть изменена или отозвана ресурсным центром, направлена министерством на доработку до окончания срока приема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Внесение изменений в заявку или отзыв заявки осуществляется ресурсным центром в порядке, аналогичном порядку подачи заявки и документов, установленному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 Не допускается изменение информации и документов по указанным в объявлении о проведении конкурса критериям оценки (показателям критериев оценки), по которым ресурсным центрам присваивается итоговое количество баллов.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Возврат заявки на доработку осуществляется министерством в течение одного рабочего дня с даты выявления оснований для возврата посредством информационного ресурса конкурсного отбора с указанием основания возврата заявки и положений заявки, нуждающихся в доработке.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Доработанные и измененные заявки принимаются министерством до окончания срока приема заявок, определенного приказом министерства об объявлении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Отозванные заявки возвращаются ресурсным центрам и не учитываются при определении количества поданных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Ресурсные центры со дня размещения объявления о проведении конкурса и не позднее третьего рабочего дня до дня завершения подачи заявок вправе направить министерству письменный запрос, в том числе на адрес электронной почты, указанный в информационном сообщении о проведении конкурсного отбора, о даче разъяснений положений, содержащихся в информационном сообщении о проведении конкурсного отбора.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трех рабочих дней с даты поступления указанного запроса министерство обязано направить в письменной форме или в форме электронного документа разъяснения положений, содержащихся в информационном сообщении о проведении конкурсного отбора, если указанный запрос поступил в министерство не позднее чем за три рабочих дня до даты окончания срока подачи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Ресурсные центры могут получить разъяснения положений, содержащихся в информационном сообщении о проведении конкурсного отбора, по телефону, указанному в информационном сообщении о проведении конкурсного отбора.</w:t>
      </w:r>
    </w:p>
    <w:p>
      <w:pPr>
        <w:pStyle w:val="Style_1"/>
        <w:spacing w:before="160" w:after="0" w:line="240" w:lineRule="auto"/>
        <w:ind w:left="0" w:firstLine="540"/>
        <w:jc w:val="both"/>
        <w:rPr>
          <w:rFonts w:ascii="Arial" w:hAnsi="Arial" w:eastAsia="Arial" w:cs="Arial"/>
          <w:b w:val="0"/>
          <w:i w:val="0"/>
          <w:strike w:val="0"/>
          <w:sz w:val="16"/>
        </w:rPr>
      </w:pPr>
      <w:bookmarkStart w:id="10" w:name="Par113"/>
      <w:bookmarkEnd w:id="10"/>
      <w:r>
        <w:rPr>
          <w:rFonts w:ascii="Arial" w:hAnsi="Arial" w:eastAsia="Arial" w:cs="Arial"/>
          <w:b w:val="0"/>
          <w:i w:val="0"/>
          <w:strike w:val="0"/>
          <w:sz w:val="16"/>
        </w:rPr>
        <w:t xml:space="preserve">18. Министерство принимает поступившие заявки и документы, указанные  Порядка, проверяет их на соответствие требованиям, установленным  -  Порядка, в течение десяти рабочих дней с даты подачи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15 рабочих дней со дня окончания срока приема заявок информация обо всех заявках, включающая наименование ресурсного центра, его идентификационный номер налогоплательщика; название и краткое описание проекта, на осуществление которого запрашивается финансирование; запрашиваемый размер поддержки,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w:t>
      </w:r>
    </w:p>
    <w:p>
      <w:pPr>
        <w:pStyle w:val="Style_1"/>
        <w:spacing w:before="160" w:after="0" w:line="240" w:lineRule="auto"/>
        <w:ind w:left="0" w:firstLine="540"/>
        <w:jc w:val="both"/>
        <w:rPr>
          <w:rFonts w:ascii="Arial" w:hAnsi="Arial" w:eastAsia="Arial" w:cs="Arial"/>
          <w:b w:val="0"/>
          <w:i w:val="0"/>
          <w:strike w:val="0"/>
          <w:sz w:val="16"/>
        </w:rPr>
      </w:pPr>
      <w:bookmarkStart w:id="11" w:name="Par115"/>
      <w:bookmarkEnd w:id="11"/>
      <w:r>
        <w:rPr>
          <w:rFonts w:ascii="Arial" w:hAnsi="Arial" w:eastAsia="Arial" w:cs="Arial"/>
          <w:b w:val="0"/>
          <w:i w:val="0"/>
          <w:strike w:val="0"/>
          <w:sz w:val="16"/>
        </w:rPr>
        <w:t xml:space="preserve">19. Министерство на стадии проверки документов ресурсных центров в рамках межведомственного информационного взаимодействия запрашивает в соответствующих органах и организациях следующие документы:</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выписку из Единого государственного реестра юридических лиц;</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сведения, содержащиеся в реестре дисквалифицированных лиц, в виде выписки о конкретном дисквалифицированном лице либо информации об отсутствии запрашиваемых сведений;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сведения, содержащиеся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связанных с террористическими организациями и террористами или с распространением оружия массового уничтожения;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сведения, содержащиеся в реестре иностранных агентов.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Ресурсные центры вправе представить данные документы при подаче заявки в министерство по собственной инициативе.</w:t>
      </w:r>
    </w:p>
    <w:p>
      <w:pPr>
        <w:pStyle w:val="Style_1"/>
        <w:spacing w:before="160" w:after="0" w:line="240" w:lineRule="auto"/>
        <w:ind w:left="0" w:firstLine="540"/>
        <w:jc w:val="both"/>
        <w:rPr>
          <w:rFonts w:ascii="Arial" w:hAnsi="Arial" w:eastAsia="Arial" w:cs="Arial"/>
          <w:b w:val="0"/>
          <w:i w:val="0"/>
          <w:strike w:val="0"/>
          <w:sz w:val="16"/>
        </w:rPr>
      </w:pPr>
      <w:bookmarkStart w:id="12" w:name="Par122"/>
      <w:bookmarkEnd w:id="12"/>
      <w:r>
        <w:rPr>
          <w:rFonts w:ascii="Arial" w:hAnsi="Arial" w:eastAsia="Arial" w:cs="Arial"/>
          <w:b w:val="0"/>
          <w:i w:val="0"/>
          <w:strike w:val="0"/>
          <w:sz w:val="16"/>
        </w:rPr>
        <w:t xml:space="preserve">20. Основаниями для отклонения заявки на стадии рассмотрения и оценки заявок являются: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ресурсного центра требованиям, установленным ,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несоответствие представленных ресурсным центром заявки и документов требованиям, установленным  -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недостоверность представленной ресурсным центром информации, в том числе информации о месте нахождения и адресе юридического лица;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подача заявки после даты, определенной для подачи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несоответствие целевого назначения гранта предмету деятельности ресурсного центра, указанному в его учредительных документах;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непредставление (представление не в полном объеме) документов, предусмотренных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оснований для отклонения заявки министерство в течение десяти рабочих дней со дня окончания срока подачи заявок направляет ресурсному центру письменное уведомление об отклонении заявки с указанием причин такого отклонения по адресу, указанному в заявке.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оснований для отклонения заявок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Представленная для участия в конкурсе заявка ресурсному центру не возвращается в случаях: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принятия решения об отклонении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ресурсный центр не признан победителем конкурса.</w:t>
      </w:r>
    </w:p>
    <w:p>
      <w:pPr>
        <w:pStyle w:val="Style_1"/>
        <w:spacing w:before="160" w:after="0" w:line="240" w:lineRule="auto"/>
        <w:ind w:left="0" w:firstLine="540"/>
        <w:jc w:val="both"/>
        <w:rPr>
          <w:rFonts w:ascii="Arial" w:hAnsi="Arial" w:eastAsia="Arial" w:cs="Arial"/>
          <w:b w:val="0"/>
          <w:i w:val="0"/>
          <w:strike w:val="0"/>
          <w:sz w:val="16"/>
        </w:rPr>
      </w:pPr>
      <w:bookmarkStart w:id="13" w:name="Par134"/>
      <w:bookmarkEnd w:id="13"/>
      <w:r>
        <w:rPr>
          <w:rFonts w:ascii="Arial" w:hAnsi="Arial" w:eastAsia="Arial" w:cs="Arial"/>
          <w:b w:val="0"/>
          <w:i w:val="0"/>
          <w:strike w:val="0"/>
          <w:sz w:val="16"/>
        </w:rPr>
        <w:t xml:space="preserve">22. Для определения победителя конкурса заявки оцениваются конкурсной комиссией, сформированной в соответствии с  Порядка, не позднее 20 рабочих дней со дня окончания срока подачи заявок по следующим критериям:</w:t>
      </w:r>
    </w:p>
    <w:p>
      <w:pPr>
        <w:pStyle w:val="Style_1"/>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8"/>
        <w:gridCol w:w="2721"/>
        <w:gridCol w:w="1910"/>
        <w:gridCol w:w="3855"/>
      </w:tblGrid>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п/п</w:t>
            </w:r>
          </w:p>
        </w:tc>
        <w:tc>
          <w:tcPr>
            <w:tcW w:w="2721"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Критерии</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Коэффициент значимости</w:t>
            </w:r>
          </w:p>
        </w:tc>
        <w:tc>
          <w:tcPr>
            <w:tcW w:w="3855"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Оценка</w:t>
            </w:r>
          </w:p>
        </w:tc>
      </w:tr>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bookmarkStart w:id="14" w:name="Par140"/>
            <w:bookmarkEnd w:id="14"/>
            <w:r>
              <w:rPr>
                <w:rFonts w:ascii="Arial" w:hAnsi="Arial" w:eastAsia="Arial" w:cs="Arial"/>
                <w:b w:val="0"/>
                <w:i w:val="0"/>
                <w:strike w:val="0"/>
                <w:sz w:val="16"/>
              </w:rPr>
              <w:t xml:space="preserve">1</w:t>
            </w:r>
          </w:p>
        </w:tc>
        <w:tc>
          <w:tcPr>
            <w:tcW w:w="272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Соответствие мероприятий проекта ресурсного центра целям, задачам и ожидаемым результатам</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0,2</w:t>
            </w:r>
          </w:p>
        </w:tc>
        <w:tc>
          <w:tcPr>
            <w:tcW w:w="3855" w:type="dxa"/>
            <w:tcBorders>
              <w:top w:val="single" w:sz="4"/>
              <w:left w:val="single" w:sz="4"/>
              <w:bottom w:val="single" w:sz="4"/>
              <w:right w:val="single" w:sz="4"/>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имеются несоответствия запланированных мероприятий целям, задачам и ожидаемым результатам проекта, сроки выполнения мероприятий некорректны, создают риски реализации такого проекта - 0 баллов;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запланированные мероприятия обеспечивают достижение цели проекта, решение поставленных задач и достижение ожидаемых результатов, вместе с тем состав мероприятий не является в полной мере оптимальным и (или) сроки выполнения отдельных мероприятий требуют корректировки - 1 балл;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запланированные мероприятия обеспечивают достижение цели проекта, решение поставленных задач и достижение ожидаемых результатов проекта, указаны разумные сроки, позволяющие в полной мере решить задачи такого проекта, - 2 балла</w:t>
            </w:r>
          </w:p>
        </w:tc>
      </w:tr>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bookmarkStart w:id="15" w:name="Par146"/>
            <w:bookmarkEnd w:id="15"/>
            <w:r>
              <w:rPr>
                <w:rFonts w:ascii="Arial" w:hAnsi="Arial" w:eastAsia="Arial" w:cs="Arial"/>
                <w:b w:val="0"/>
                <w:i w:val="0"/>
                <w:strike w:val="0"/>
                <w:sz w:val="16"/>
              </w:rPr>
              <w:t xml:space="preserve">2</w:t>
            </w:r>
          </w:p>
        </w:tc>
        <w:tc>
          <w:tcPr>
            <w:tcW w:w="272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Наличие квалифицированного кадрового потенциала, подтвержденного списками специалистов, привлекаемых для реализации проекта ресурсного центра</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3855" w:type="dxa"/>
            <w:tcBorders>
              <w:top w:val="single" w:sz="4"/>
              <w:left w:val="single" w:sz="4"/>
              <w:bottom w:val="single" w:sz="4"/>
              <w:right w:val="single" w:sz="4"/>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работники, имеющие опыт и квалификацию, необходимые для выполнения мероприятий проекта, отсутствуют - 0 баллов;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работники, заявленные в проекте, имеют недостаточную квалификацию для реализации проекта либо количество привлекаемых специалистов от 1 до 2 - 1 балл;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наличие у ресурсного центра работников, имеющих опыт и квалификацию, необходимые для выполнения мероприятий проекта, от 3 специалистов и более - 2 балла</w:t>
            </w:r>
          </w:p>
        </w:tc>
      </w:tr>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bookmarkStart w:id="16" w:name="Par152"/>
            <w:bookmarkEnd w:id="16"/>
            <w:r>
              <w:rPr>
                <w:rFonts w:ascii="Arial" w:hAnsi="Arial" w:eastAsia="Arial" w:cs="Arial"/>
                <w:b w:val="0"/>
                <w:i w:val="0"/>
                <w:strike w:val="0"/>
                <w:sz w:val="16"/>
              </w:rPr>
              <w:t xml:space="preserve">3</w:t>
            </w:r>
          </w:p>
        </w:tc>
        <w:tc>
          <w:tcPr>
            <w:tcW w:w="272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Наличие необходимой материально-технической базы ресурсного центра, информационных возможностей и помещения для организации и проведения мероприятий, подтвержденных соответствующими документами</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3855" w:type="dxa"/>
            <w:tcBorders>
              <w:top w:val="single" w:sz="4"/>
              <w:left w:val="single" w:sz="4"/>
              <w:bottom w:val="single" w:sz="4"/>
              <w:right w:val="single" w:sz="4"/>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помещения, оборудованных рабочих мест для сотрудников и для клиентов ресурсного центра, выхода в сеть "Интернет" - 0 баллов;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наличие помещения, оборудованных рабочих мест для сотрудников и для клиентов ресурсного центра, наличие выхода в сеть "Интернет" - 1 балл</w:t>
            </w:r>
          </w:p>
        </w:tc>
      </w:tr>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bookmarkStart w:id="17" w:name="Par157"/>
            <w:bookmarkEnd w:id="17"/>
            <w:r>
              <w:rPr>
                <w:rFonts w:ascii="Arial" w:hAnsi="Arial" w:eastAsia="Arial" w:cs="Arial"/>
                <w:b w:val="0"/>
                <w:i w:val="0"/>
                <w:strike w:val="0"/>
                <w:sz w:val="16"/>
              </w:rPr>
              <w:t xml:space="preserve">4</w:t>
            </w:r>
          </w:p>
        </w:tc>
        <w:tc>
          <w:tcPr>
            <w:tcW w:w="272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Соответствие затрат, указанных в смете, затратам, направленным на достижение результата от реализации проекта ресурсного центра</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0,2</w:t>
            </w:r>
          </w:p>
        </w:tc>
        <w:tc>
          <w:tcPr>
            <w:tcW w:w="3855" w:type="dxa"/>
            <w:tcBorders>
              <w:top w:val="single" w:sz="4"/>
              <w:left w:val="single" w:sz="4"/>
              <w:bottom w:val="single" w:sz="4"/>
              <w:right w:val="single" w:sz="4"/>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затраты, указанные в смете проекта, не соответствуют предполагаемому эффекту от его реализации - 0 баллов;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затраты, указанные в смете проекта, частично соответствуют предполагаемому эффекту от его реализации - 1 балл;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затраты, указанные в смете проекта, в целом соответствуют предполагаемому эффекту от его реализации, но бюджет отдельных мероприятий не продуман, не является оптимальным - 2 балла;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затраты, указанные в смете проекта, соответствуют предполагаемому эффекту от его реализации - 3 балла</w:t>
            </w:r>
          </w:p>
        </w:tc>
      </w:tr>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w:t>
            </w:r>
          </w:p>
        </w:tc>
        <w:tc>
          <w:tcPr>
            <w:tcW w:w="272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Количество СО НКО и инициативных групп граждан, пользующихся услугами ресурсного центра в период подачи заявки</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0,2</w:t>
            </w:r>
          </w:p>
        </w:tc>
        <w:tc>
          <w:tcPr>
            <w:tcW w:w="3855" w:type="dxa"/>
            <w:tcBorders>
              <w:top w:val="single" w:sz="4"/>
              <w:left w:val="single" w:sz="4"/>
              <w:bottom w:val="single" w:sz="4"/>
              <w:right w:val="single" w:sz="4"/>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 1 до 10 - 0 баллов;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 11 до 20 - 1 балл;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 21 до 30 - 2 балла;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от 31 и более - 3 балла</w:t>
            </w:r>
          </w:p>
        </w:tc>
      </w:tr>
      <w:tr>
        <w:trPr>
          <w:jc w:val="left"/>
        </w:trPr>
        <w:tc>
          <w:tcPr>
            <w:tcW w:w="628"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bookmarkStart w:id="18" w:name="Par171"/>
            <w:bookmarkEnd w:id="18"/>
            <w:r>
              <w:rPr>
                <w:rFonts w:ascii="Arial" w:hAnsi="Arial" w:eastAsia="Arial" w:cs="Arial"/>
                <w:b w:val="0"/>
                <w:i w:val="0"/>
                <w:strike w:val="0"/>
                <w:sz w:val="16"/>
              </w:rPr>
              <w:t xml:space="preserve">6</w:t>
            </w:r>
          </w:p>
        </w:tc>
        <w:tc>
          <w:tcPr>
            <w:tcW w:w="2721" w:type="dxa"/>
            <w:tcBorders>
              <w:top w:val="single" w:sz="4"/>
              <w:left w:val="single" w:sz="4"/>
              <w:bottom w:val="single" w:sz="4"/>
              <w:right w:val="single" w:sz="4"/>
            </w:tcBorders>
          </w:tcPr>
          <w:p>
            <w:pPr>
              <w:pStyle w:val="Style_1"/>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Численность граждан, которые будут принимать участие в реализации проекта с учетом добровольцев</w:t>
            </w:r>
          </w:p>
        </w:tc>
        <w:tc>
          <w:tcPr>
            <w:tcW w:w="1910" w:type="dxa"/>
            <w:tcBorders>
              <w:top w:val="single" w:sz="4"/>
              <w:left w:val="single" w:sz="4"/>
              <w:bottom w:val="single" w:sz="4"/>
              <w:right w:val="single" w:sz="4"/>
            </w:tcBorders>
          </w:tcPr>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0,1</w:t>
            </w:r>
          </w:p>
        </w:tc>
        <w:tc>
          <w:tcPr>
            <w:tcW w:w="3855" w:type="dxa"/>
            <w:tcBorders>
              <w:top w:val="single" w:sz="4"/>
              <w:left w:val="single" w:sz="4"/>
              <w:bottom w:val="single" w:sz="4"/>
              <w:right w:val="single" w:sz="4"/>
            </w:tcBorders>
          </w:tcPr>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реализации проекта ресурсного центра примут участие от 1 до 100 граждан - 0 баллов;</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реализации проекта ресурсного центра примут участие от 101 до 200 граждан - 1 балл;</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реализации проекта ресурсного центра примут участие от 201 до 300 граждан - 2 балла;</w:t>
            </w:r>
          </w:p>
          <w:p>
            <w:pPr>
              <w:pStyle w:val="Style_1"/>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реализации проекта ресурсного центра примут участие от 301 и более граждан - 3 балла</w:t>
            </w:r>
          </w:p>
        </w:tc>
      </w:tr>
    </w:tbl>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каждому из критериев, указанных в ,  таблицы, каждой заявке выставляются баллы от 0 до 2.</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критерию, указанному в  таблицы, каждой заявке выставляются баллы от 0 до 1.</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критерию, указанному в  -  таблицы, каждой заявке выставляются баллы от 0 до 3.</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результатам оценки заявок конкурсная комиссия рассчитывает весовое значение заявки путем сложения баллов, выставленных членами конкурсной комиссии, оценивающими заявки по каждому критерию, умноженное на коэффициент значимости по каждому критерию, по следующей формуле: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 = (Б1 + Б2 + ... Бn) x В1 + (Б1 + Б2 + ... Бn) x</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x В2 + ... (Б1 + Б2 + ... Бn) x Вn, где: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 весовое значение;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Б1 - балл, выставленный 1-м членом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Б2 - балл, выставленный 2-м членом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Бn - балл, выставленный n-м членом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В1 - коэффициент значимости 1-го критерия оценки;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В2 - коэффициент значимости 2-го критерия оценки;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Вn - коэффициент значимости n-го критерия оценки.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Каждая заявка оценивается не менее чем двумя членами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присваивает каждой заявке порядковый номер (в порядке уменьшения ее весового значения). Заявке с самым высоким весовым значением присваивается первый номер, последующие порядковые номера присваиваются заявкам в порядке уменьшения весового значения.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наличия заявок, имеющих одинаковое весовое значение, более высокий порядковый номер присваивается заявке, поступившей в более раннюю дату, а при совпадении дат - в более раннее время.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определяет победителей в соответствии с порядковыми номерами заявок (от самого высокого весового значения в сторону уменьшения) исходя из размера грантов, определяемых в соответствии с  Порядка, и объема бюджетных ассигнований на предоставление грантов, установленного министерству на текущий финансовый год в пределах лимитов бюджетных обязательств, в соответствии со сводной бюджетной росписью и кассовым планом областного бюджета.</w:t>
      </w:r>
    </w:p>
    <w:p>
      <w:pPr>
        <w:pStyle w:val="Style_1"/>
        <w:spacing w:before="160" w:after="0" w:line="240" w:lineRule="auto"/>
        <w:ind w:left="0" w:firstLine="540"/>
        <w:jc w:val="both"/>
        <w:rPr>
          <w:rFonts w:ascii="Arial" w:hAnsi="Arial" w:eastAsia="Arial" w:cs="Arial"/>
          <w:b w:val="0"/>
          <w:i w:val="0"/>
          <w:strike w:val="0"/>
          <w:sz w:val="16"/>
        </w:rPr>
      </w:pPr>
      <w:bookmarkStart w:id="19" w:name="Par199"/>
      <w:bookmarkEnd w:id="19"/>
      <w:r>
        <w:rPr>
          <w:rFonts w:ascii="Arial" w:hAnsi="Arial" w:eastAsia="Arial" w:cs="Arial"/>
          <w:b w:val="0"/>
          <w:i w:val="0"/>
          <w:strike w:val="0"/>
          <w:sz w:val="16"/>
        </w:rPr>
        <w:t xml:space="preserve">23. В состав конкурсной комиссии входят председатель комиссии, заместитель председателя комиссии, секретарь комиссии и члены комиссии. В состав конкурсной комиссии могут входить представители Законодательного Собрания Новосибирской области, Общественной палаты Новосибирской области, члены общественного совета при министерстве, некоммерческих организаций, деятельность которых направлена на решение социальных проблем, развитие гражданского общества в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Число членов конкурсной комиссии, замещающих государственные должности Новосибирской области, должности государственной гражданской службы, муниципальной службы, муниципальные должности, должно составлять не более одной трети от общего числа членов конкурсной комиссии.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Заседание конкурсной комиссии проводится не позднее 20 рабочих дней со дня окончания срока подачи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Результаты работы конкурсной комиссии оформляются протоколом подведения итогов конкурса (далее - протокол), включающим следующие сведения: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время и место проведения рассмотрения заявок;</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дату, время и место оценки заявок ресурсных центров;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информацию о ресурсных центрах, заявки которых были рассмотрены;</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ресурсных центрах,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последовательность оценки заявок ресурсных центров, присвоенные заявкам значения по каждому из предусмотренных критериев оценки заявок ресурсных центров, принятое на основании результатов оценки указанных заявок решение о присвоении таким заявкам порядковых номеров;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наименование ресурсных центров - победителей конкурса (получателей гранта), с которыми заключается соглашение по результатам конкурса, их ОГРН, идентификационный номер налогоплательщика, название и краткое описание проекта, на осуществление которого предоставляется грант, его размер;</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информацию об участниках заседания конкурсной комиссии,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конкурсной комиссии, которое они потребовали внести в протокол, о наличии у участников заседания конкурсной комиссии конфликта интересов в отношении рассматриваемых вопросов).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Протокол подписывается председательствующим и секретарем комиссии в течение трех рабочих дней после принятия решения конкурсной комиссией.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Протокол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в течение двух рабочих дней со дня его подписания.</w:t>
      </w:r>
    </w:p>
    <w:p>
      <w:pPr>
        <w:pStyle w:val="Style_1"/>
        <w:spacing w:before="160" w:after="0" w:line="240" w:lineRule="auto"/>
        <w:ind w:left="0" w:firstLine="540"/>
        <w:jc w:val="both"/>
        <w:rPr>
          <w:rFonts w:ascii="Arial" w:hAnsi="Arial" w:eastAsia="Arial" w:cs="Arial"/>
          <w:b w:val="0"/>
          <w:i w:val="0"/>
          <w:strike w:val="0"/>
          <w:sz w:val="16"/>
        </w:rPr>
      </w:pPr>
      <w:bookmarkStart w:id="20" w:name="Par212"/>
      <w:bookmarkEnd w:id="20"/>
      <w:r>
        <w:rPr>
          <w:rFonts w:ascii="Arial" w:hAnsi="Arial" w:eastAsia="Arial" w:cs="Arial"/>
          <w:b w:val="0"/>
          <w:i w:val="0"/>
          <w:strike w:val="0"/>
          <w:sz w:val="16"/>
        </w:rPr>
        <w:t xml:space="preserve">25. В течение пяти календарных дней со дня подписания протокола министерство издает приказ о результатах конкурса с указанием ресурсных центров - победителей конкурса и размера предоставляемых им грантов и размещает его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Конкурс признается несостоявшимся в следующих случаях:</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окончании срока подачи заявок не подано ни одной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 результатам рассмотрения заявок отклонены все заявки.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пяти календарных дней со дня окончания срока подачи заявок в случае отсутствия поданных заявок либо в течение 15 рабочих дней со дня окончания срока приема заявок в случае отклонения всех заявок министерство издает приказ о признании конкурса несостоявшимся и размещает его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Объявление о признании конкурса несостоявшимся размещается министерством в течение пяти календарных дней со дня принятия решения о признании конкурса несостоявшимся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Условия и порядок предоставления грантов</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bookmarkStart w:id="21" w:name="Par221"/>
      <w:bookmarkEnd w:id="21"/>
      <w:r>
        <w:rPr>
          <w:rFonts w:ascii="Arial" w:hAnsi="Arial" w:eastAsia="Arial" w:cs="Arial"/>
          <w:b w:val="0"/>
          <w:i w:val="0"/>
          <w:strike w:val="0"/>
          <w:sz w:val="16"/>
        </w:rPr>
        <w:t xml:space="preserve">27. Размер гранта определяется в соответствии с запрашиваемым размером гранта, указанным в заявке, но не более максимального размера гранта, установленного в объявлении о проведении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Результатом, в целях достижения которого предоставляется грант (далее - результат предоставления гранта), является реализованный проект ресурсного центра.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Показателями, необходимыми для достижения результата предоставления гранта, являются количественные характеристики проведения мероприятий социально значимого проекта, указанные в заявке ресурсного центра - победителя конкурса.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Грант предоставляется на основании соглашения, заключаемого между министерством и ресурсным центром - победителем конкурса.</w:t>
      </w:r>
    </w:p>
    <w:p>
      <w:pPr>
        <w:pStyle w:val="Style_1"/>
        <w:spacing w:before="160" w:after="0" w:line="240" w:lineRule="auto"/>
        <w:ind w:left="0" w:firstLine="540"/>
        <w:jc w:val="both"/>
        <w:rPr>
          <w:rFonts w:ascii="Arial" w:hAnsi="Arial" w:eastAsia="Arial" w:cs="Arial"/>
          <w:b w:val="0"/>
          <w:i w:val="0"/>
          <w:strike w:val="0"/>
          <w:sz w:val="16"/>
        </w:rPr>
      </w:pPr>
      <w:bookmarkStart w:id="22" w:name="Par225"/>
      <w:bookmarkEnd w:id="22"/>
      <w:r>
        <w:rPr>
          <w:rFonts w:ascii="Arial" w:hAnsi="Arial" w:eastAsia="Arial" w:cs="Arial"/>
          <w:b w:val="0"/>
          <w:i w:val="0"/>
          <w:strike w:val="0"/>
          <w:sz w:val="16"/>
        </w:rPr>
        <w:t xml:space="preserve">30. В целях заключения соглашения министерство уведомляет ресурсный центр о принятом решении и в течение 20 рабочих дней со дня подписания конкурсной комиссией протокола направляет ресурсному центру - победителю конкурса уведомление на адрес электронной почты, указанной в заявке, о необходимости подписать соглашение в течение десяти рабочих дней.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соглашения (уточнение финансового обеспечения предоставления гранта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Министерство отказывает ресурсному центру - победителю конкурса в заключении соглашения по следующим основаниям: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несоответствие представленных ресурсным центром - победителем конкурса документов требованиям, определенным ,  Порядка, или непредставление (представление не в полном объеме) указанных документов;</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установление факта недостоверности представленной ресурсным центром - победителем конкурса информации.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оснований для отказа в заключении соглашения, указанных в настоящем пункте, министерство в течение десяти рабочих дней с момента выявления оснований для отказа направляет ресурсному центру - победителю конкурса письменное уведомление об отказе в заключении соглашения с указанием причин такого отказа по адресу, указанному в заявке.</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В случае отказа ресурсного центра - победителя конкурса от заключения соглашения в срок, установленный  Порядка, такой ресурсный центр признается уклонившимся от заключения соглашения. В течение пяти рабочих дней со дня истечения срока, установленного пунктом 30 Порядка, министерство направляет такому ресурсному центру уведомление о признании его уклонившимся от заключения соглашения.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Соглашение, дополнительное соглашение о внесении изменений, а также дополнительное соглашение о расторжении соглашения (при необходимости) подготавливаются (формируются) и заключаются в системе "Электронный бюджет" в соответствии с типовой формой, установленной министерством финансов и налоговой политики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В соглашении указываются:</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результаты предоставления гранта и показатели, необходимые для достижения результатов предоставления гранта;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(периодичность) перечисления гранта в соответствии с бюджетным законодательством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bookmarkStart w:id="23" w:name="Par236"/>
      <w:bookmarkEnd w:id="23"/>
      <w:r>
        <w:rPr>
          <w:rFonts w:ascii="Arial" w:hAnsi="Arial" w:eastAsia="Arial" w:cs="Arial"/>
          <w:b w:val="0"/>
          <w:i w:val="0"/>
          <w:strike w:val="0"/>
          <w:sz w:val="16"/>
        </w:rPr>
        <w:t xml:space="preserve">3) счет (счета), на который (которые) перечисляется грант, с учетом положений, установленных бюджетным законодательством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условие о согласии ресурсного центра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грантов на финансовое обеспечение затрат ресурсного центра, на осуществление министерством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органом государственного финансового контроля соблюдения ресурсным центром порядка и условий предоставления гранта в соответствии со </w:t>
      </w:r>
      <w:hyperlink r:id="rId20">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21">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запрет приобретения за счет средств, предоставленных на финансовое обеспечение затрат ресурсного центра,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После заключения соглашения министерство в течение 20 рабочих дней перечисляет грант на счет (счета) ресурсного центра, указанный (указанные) в соглашении в соответствии с  Порядка.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Грант предоставляется на основании подписанного ресурсным центром и министерством соглашения в пределах лимитов бюджетных обязательств, установленных министерству на текущий финансовый год в соответствии со сводной бюджетной росписью и кассовым планом областного бюджета.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Предоставленные гранты должны быть использованы в сроки, предусмотренные соглашениями.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Сроки использования гранта не ограничиваются финансовым годом, в котором предоставлены эти гранты.</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Требования к отчетности</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bookmarkStart w:id="24" w:name="Par247"/>
      <w:bookmarkEnd w:id="24"/>
      <w:r>
        <w:rPr>
          <w:rFonts w:ascii="Arial" w:hAnsi="Arial" w:eastAsia="Arial" w:cs="Arial"/>
          <w:b w:val="0"/>
          <w:i w:val="0"/>
          <w:strike w:val="0"/>
          <w:sz w:val="16"/>
        </w:rPr>
        <w:t xml:space="preserve">39. Отчет о достижении значений результатов предоставления гранта, отчет об осуществлении расходов, источником которых является грант, отчет о реализации плана мероприятий по достижению результатов предоставления гранта (контрольных точек) (далее - отчет) представляются в министерство ресурсным центром не реже одного раза в квартал по формам, определенным типовыми формами соглашений, установленным министерством финансов и налоговой политики Новосибирской области.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вправе устанавливать в соглашении сроки и формы представления получателем гранта дополнительной отчетности.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Министерство осуществляет проверку отчетов в течение 60 рабочих дней со дня их поступления по результатам которой:</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принимает отчет;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возвращает отчет получателю гранта на доработку при наличии замечаний. Получатель гранта дорабатывает отчет в течение пяти рабочих дней со дня его получения и представляет в министерство доработанный отчет для проведения повторной проверки.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Получатель гранта несет ответственность за достоверность и своевременность представления отчетности, предусмотренной  Порядка.</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Требования об осуществлении контроля (мониторинга)</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соблюдением условий и порядка предоставления</w:t>
      </w:r>
    </w:p>
    <w:p>
      <w:pPr>
        <w:pStyle w:val="Style_1"/>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грантов и ответственности за их нарушение</w:t>
      </w:r>
    </w:p>
    <w:p>
      <w:pPr>
        <w:pStyle w:val="Style_1"/>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Получатель гранта несет ответственность за соблюдение условий и порядка предоставления гранта в соответствии с действующим законодательством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Министерство осуществляет проверку соблюдения получателем гранта порядка и условий предоставления грантов, в том числе в части достижения результатов предоставления гранта.</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Органы государственного финансового контроля осуществляют проверку в соответствии со </w:t>
      </w:r>
      <w:hyperlink r:id="rId22">
        <w:r>
          <w:rPr>
            <w:rFonts w:ascii="Arial" w:hAnsi="Arial" w:eastAsia="Arial" w:cs="Arial"/>
            <w:b w:val="0"/>
            <w:i w:val="0"/>
            <w:strike w:val="0"/>
            <w:color w:val="0000ff"/>
            <w:sz w:val="16"/>
          </w:rPr>
          <w:t xml:space="preserve">статьями 268.1</w:t>
        </w:r>
      </w:hyperlink>
      <w:r>
        <w:rPr>
          <w:rFonts w:ascii="Arial" w:hAnsi="Arial" w:eastAsia="Arial" w:cs="Arial"/>
          <w:b w:val="0"/>
          <w:i w:val="0"/>
          <w:strike w:val="0"/>
          <w:sz w:val="16"/>
        </w:rPr>
        <w:t xml:space="preserve"> и </w:t>
      </w:r>
      <w:hyperlink r:id="rId23">
        <w:r>
          <w:rPr>
            <w:rFonts w:ascii="Arial" w:hAnsi="Arial" w:eastAsia="Arial" w:cs="Arial"/>
            <w:b w:val="0"/>
            <w:i w:val="0"/>
            <w:strike w:val="0"/>
            <w:color w:val="0000ff"/>
            <w:sz w:val="16"/>
          </w:rPr>
          <w:t xml:space="preserve">269.2</w:t>
        </w:r>
      </w:hyperlink>
      <w:r>
        <w:rPr>
          <w:rFonts w:ascii="Arial" w:hAnsi="Arial" w:eastAsia="Arial" w:cs="Arial"/>
          <w:b w:val="0"/>
          <w:i w:val="0"/>
          <w:strike w:val="0"/>
          <w:sz w:val="16"/>
        </w:rPr>
        <w:t xml:space="preserve"> Бюджетного кодекса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Министерство,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bookmarkStart w:id="25" w:name="Par262"/>
      <w:bookmarkEnd w:id="25"/>
      <w:r>
        <w:rPr>
          <w:rFonts w:ascii="Arial" w:hAnsi="Arial" w:eastAsia="Arial" w:cs="Arial"/>
          <w:b w:val="0"/>
          <w:i w:val="0"/>
          <w:strike w:val="0"/>
          <w:sz w:val="16"/>
        </w:rPr>
        <w:t xml:space="preserve">44.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и уполномоченным органом государственного финансового контроля, грант подлежит возврату в областной бюджет.</w:t>
      </w:r>
    </w:p>
    <w:p>
      <w:pPr>
        <w:pStyle w:val="Style_1"/>
        <w:spacing w:before="160" w:after="0" w:line="240" w:lineRule="auto"/>
        <w:ind w:left="0" w:firstLine="540"/>
        <w:jc w:val="both"/>
        <w:rPr>
          <w:rFonts w:ascii="Arial" w:hAnsi="Arial" w:eastAsia="Arial" w:cs="Arial"/>
          <w:b w:val="0"/>
          <w:i w:val="0"/>
          <w:strike w:val="0"/>
          <w:sz w:val="16"/>
        </w:rPr>
      </w:pPr>
      <w:bookmarkStart w:id="26" w:name="Par263"/>
      <w:bookmarkEnd w:id="26"/>
      <w:r>
        <w:rPr>
          <w:rFonts w:ascii="Arial" w:hAnsi="Arial" w:eastAsia="Arial" w:cs="Arial"/>
          <w:b w:val="0"/>
          <w:i w:val="0"/>
          <w:strike w:val="0"/>
          <w:sz w:val="16"/>
        </w:rPr>
        <w:t xml:space="preserve">В случае недостижения значений результата предоставления гранта, выявленного по фактам проверок, проведенных министерством и уполномоченным органом государственного финансового контроля, грант подлежит возврату в областной бюджет в той части, в которой результат предоставления гранта не достигнут.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гранта, подлежащий возврату в областной бюджет, в случае, если получателем гранта допущены нарушения обязательств по достижению результата предоставления гранта, определяется по формуле, указываемой в соглашении.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Министерство в течение 30 календарных дней со дня выявления указанных в  и  настоящего пункта нарушений направляет ресурсному центру письменное уведомление о возврате гранта (части гранта) в областной бюджет.</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Ресурсный центр обязан в течение 30 календарных дней со дня получения письменного уведомления от министерства о возврате гранта перечислить указанную сумму денежных средств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Гранты, не использованные ресурсным центром в сроки, предусмотренные соглашением, должны быть возвращены в областной бюджет в трехдневный срок с даты окончания срока использования гранта, установленного соглашением.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невозврата грантов по истечении срока, указанного в настоящем пункте, взыскание указанных средств осуществляется в судебном порядке в соответствии с законодательством Российской Федерации.</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При реорганизации ресурсного центра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Style_1"/>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реорганизации ресурсного центра в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ресурсным центром обязательствах, источником финансового обеспечения которых является грант, и возврате неиспользованного остатка гранта в областной бюджет Новосибирской области.</w:t>
      </w:r>
    </w:p>
    <w:p>
      <w:pPr>
        <w:pStyle w:val="Style_1"/>
        <w:spacing w:before="0" w:after="0" w:line="240" w:lineRule="auto"/>
        <w:ind w:left="0" w:firstLine="0"/>
        <w:jc w:val="left"/>
        <w:rPr>
          <w:rFonts w:ascii="Arial" w:hAnsi="Arial" w:eastAsia="Arial" w:cs="Arial"/>
          <w:b w:val="0"/>
          <w:i w:val="0"/>
          <w:strike w:val="0"/>
          <w:sz w:val="16"/>
        </w:rPr>
      </w:pPr>
      <w:hyperlink r:id="rId24">
        <w:r>
          <w:rPr>
            <w:rFonts w:ascii="Arial" w:hAnsi="Arial" w:eastAsia="Arial" w:cs="Arial"/>
            <w:b w:val="0"/>
            <w:i/>
            <w:strike w:val="0"/>
            <w:color w:val="0000ff"/>
            <w:sz w:val="16"/>
          </w:rPr>
          <w:br/>
        </w:r>
        <w:r>
          <w:rPr>
            <w:rFonts w:ascii="Arial" w:hAnsi="Arial" w:eastAsia="Arial" w:cs="Arial"/>
            <w:b w:val="0"/>
            <w:i/>
            <w:strike w:val="0"/>
            <w:color w:val="0000ff"/>
            <w:sz w:val="16"/>
          </w:rPr>
          <w:t xml:space="preserve">Постановление Правительства Новосибирской области от 26.12.2018 N 570-п (ред. от 15.07.2024) "Об утверждении государственной программы Новосибирской области "Развитие институтов региональной политики и гражданского общества в Новосибирской области" {КонсультантПлюс}</w:t>
        </w:r>
      </w:hyperlink>
      <w:r>
        <w:rPr>
          <w:rFonts w:ascii="Arial" w:hAnsi="Arial" w:eastAsia="Arial" w:cs="Arial"/>
          <w:b w:val="0"/>
          <w:i w:val="0"/>
          <w:strike w:val="0"/>
          <w:sz w:val="16"/>
        </w:rPr>
        <w:br/>
      </w: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pStyle w:val="Style_1"/>
        <w:spacing w:before="0" w:after="0" w:line="240" w:lineRule="auto"/>
        <w:jc w:val="left"/>
        <w:rPr>
          <w:sz w:val="24"/>
        </w:rPr>
      </w:pPr>
      <w:r>
        <w:rPr>
          <w:rFonts w:ascii="Arial" w:hAnsi="Arial" w:eastAsia="Arial" w:cs="Arial"/>
          <w:sz w:val="24"/>
        </w:rPr>
        <w:separator/>
      </w:r>
    </w:p>
  </w:endnote>
  <w:endnote w:type="continuationSeparator" w:id="1">
    <w:p>
      <w:pPr>
        <w:pStyle w:val="Style_1"/>
        <w:spacing w:before="0" w:after="0" w:line="240" w:lineRule="auto"/>
        <w:jc w:val="left"/>
        <w:rPr>
          <w:sz w:val="24"/>
        </w:rPr>
      </w:pPr>
      <w:r>
        <w:rPr>
          <w:rFonts w:ascii="Arial" w:hAnsi="Arial" w:eastAsia="Arial" w:cs="Arial"/>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pStyle w:val="Style_1"/>
        <w:spacing w:before="0" w:after="0" w:line="240" w:lineRule="auto"/>
        <w:jc w:val="left"/>
        <w:rPr>
          <w:sz w:val="24"/>
        </w:rPr>
      </w:pPr>
      <w:r>
        <w:rPr>
          <w:rFonts w:ascii="Arial" w:hAnsi="Arial" w:eastAsia="Arial" w:cs="Arial"/>
          <w:sz w:val="24"/>
        </w:rPr>
        <w:separator/>
      </w:r>
    </w:p>
  </w:footnote>
  <w:footnote w:type="continuationSeparator" w:id="1">
    <w:p>
      <w:pPr>
        <w:pStyle w:val="Style_1"/>
        <w:spacing w:before="0" w:after="0" w:line="240" w:lineRule="auto"/>
        <w:jc w:val="left"/>
        <w:rPr>
          <w:sz w:val="24"/>
        </w:rPr>
      </w:pPr>
      <w:r>
        <w:rPr>
          <w:rFonts w:ascii="Arial" w:hAnsi="Arial" w:eastAsia="Arial" w:cs="Arial"/>
          <w:sz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endnotePr>
    <w:endnote w:id="0"/>
    <w:endnote w:id="1"/>
  </w:endnotePr>
  <w:compat>
    <w:forgetLastTabAlignment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1">
    <w:name w:val="       ConsPlusNormal"/>
    <w:pPr>
      <w:spacing w:before="0" w:after="0" w:line="240" w:lineRule="auto"/>
      <w:jc w:val="left"/>
    </w:pPr>
    <w:rPr>
      <w:rFonts w:ascii="Arial" w:hAnsi="Arial" w:eastAsia="Arial" w:cs="Arial"/>
      <w:b w:val="0"/>
      <w:i w:val="0"/>
      <w:strike w:val="0"/>
      <w:sz w:val="16"/>
    </w:rPr>
  </w:style>
  <w:style w:type="paragraph" w:styleId="Style_2">
    <w:name w:val="       ConsPlusNonformat"/>
    <w:pPr>
      <w:spacing w:before="0" w:after="0" w:line="240" w:lineRule="auto"/>
      <w:jc w:val="left"/>
    </w:pPr>
    <w:rPr>
      <w:rFonts w:ascii="CourierNew" w:hAnsi="CourierNew" w:eastAsia="CourierNew" w:cs="CourierNew"/>
      <w:b w:val="0"/>
      <w:i w:val="0"/>
      <w:strike w:val="0"/>
      <w:sz w:val="20"/>
    </w:rPr>
  </w:style>
  <w:style w:type="paragraph" w:styleId="Style_3">
    <w:name w:val="       ConsPlusTitle"/>
    <w:pPr>
      <w:spacing w:before="0" w:after="0" w:line="240" w:lineRule="auto"/>
      <w:jc w:val="left"/>
    </w:pPr>
    <w:rPr>
      <w:rFonts w:ascii="Arial" w:hAnsi="Arial" w:eastAsia="Arial" w:cs="Arial"/>
      <w:b/>
      <w:i w:val="0"/>
      <w:strike w:val="0"/>
      <w:sz w:val="16"/>
    </w:rPr>
  </w:style>
  <w:style w:type="paragraph" w:styleId="Style_4">
    <w:name w:val="       ConsPlusCell"/>
    <w:pPr>
      <w:spacing w:before="0" w:after="0" w:line="240" w:lineRule="auto"/>
      <w:jc w:val="left"/>
    </w:pPr>
    <w:rPr>
      <w:rFonts w:ascii="CourierNew" w:hAnsi="CourierNew" w:eastAsia="CourierNew" w:cs="CourierNew"/>
      <w:b w:val="0"/>
      <w:i w:val="0"/>
      <w:strike w:val="0"/>
      <w:sz w:val="20"/>
    </w:rPr>
  </w:style>
  <w:style w:type="paragraph" w:styleId="Style_5">
    <w:name w:val="       ConsPlusDocList"/>
    <w:pPr>
      <w:spacing w:before="0" w:after="0" w:line="240" w:lineRule="auto"/>
      <w:jc w:val="left"/>
    </w:pPr>
    <w:rPr>
      <w:rFonts w:ascii="CourierNew" w:hAnsi="CourierNew" w:eastAsia="CourierNew" w:cs="CourierNew"/>
      <w:b w:val="0"/>
      <w:i w:val="0"/>
      <w:strike w:val="0"/>
      <w:sz w:val="16"/>
    </w:rPr>
  </w:style>
  <w:style w:type="paragraph" w:styleId="Style_6">
    <w:name w:val="       ConsPlusTitlePage"/>
    <w:pPr>
      <w:spacing w:before="0" w:after="0" w:line="240" w:lineRule="auto"/>
      <w:jc w:val="left"/>
    </w:pPr>
    <w:rPr>
      <w:rFonts w:ascii="Tahoma" w:hAnsi="Tahoma" w:eastAsia="Tahoma" w:cs="Tahoma"/>
      <w:b w:val="0"/>
      <w:i w:val="0"/>
      <w:strike w:val="0"/>
      <w:sz w:val="16"/>
    </w:rPr>
  </w:style>
  <w:style w:type="paragraph" w:styleId="Style_7">
    <w:name w:val="       ConsPlusJurTerm"/>
    <w:pPr>
      <w:spacing w:before="0" w:after="0" w:line="240" w:lineRule="auto"/>
      <w:jc w:val="left"/>
    </w:pPr>
    <w:rPr>
      <w:rFonts w:ascii="Tahoma" w:hAnsi="Tahoma" w:eastAsia="Tahoma" w:cs="Tahoma"/>
      <w:b w:val="0"/>
      <w:i w:val="0"/>
      <w:strike w:val="0"/>
      <w:sz w:val="26"/>
    </w:rPr>
  </w:style>
  <w:style w:type="paragraph" w:styleId="Style_8">
    <w:name w:val="       ConsPlusTextList"/>
    <w:pPr>
      <w:spacing w:before="0" w:after="0" w:line="240" w:lineRule="auto"/>
      <w:jc w:val="left"/>
    </w:pPr>
    <w:rPr>
      <w:rFonts w:ascii="Arial" w:hAnsi="Arial" w:eastAsia="Arial" w:cs="Arial"/>
      <w:b w:val="0"/>
      <w:i w:val="0"/>
      <w:strike w:val="0"/>
      <w:sz w:val="20"/>
    </w:rPr>
  </w:style>
  <w:style w:type="paragraph" w:styleId="Style_9">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049&amp;n=174396&amp;dst=100020" TargetMode="External"/><Relationship Id="rId9" Type="http://schemas.openxmlformats.org/officeDocument/2006/relationships/hyperlink" Target="https://login.consultant.ru/link/?req=doc&amp;base=RLAW049&amp;n=174464&amp;dst=100047" TargetMode="External"/><Relationship Id="rId10" Type="http://schemas.openxmlformats.org/officeDocument/2006/relationships/hyperlink" Target="https://login.consultant.ru/link/?req=doc&amp;base=LAW&amp;n=469774&amp;dst=7461" TargetMode="External"/><Relationship Id="rId11" Type="http://schemas.openxmlformats.org/officeDocument/2006/relationships/hyperlink" Target="https://login.consultant.ru/link/?req=doc&amp;base=LAW&amp;n=483036&amp;dst=585" TargetMode="External"/><Relationship Id="rId12" Type="http://schemas.openxmlformats.org/officeDocument/2006/relationships/hyperlink" Target="https://login.consultant.ru/link/?req=doc&amp;base=LAW&amp;n=461663&amp;dst=100029" TargetMode="External"/><Relationship Id="rId13" Type="http://schemas.openxmlformats.org/officeDocument/2006/relationships/hyperlink" Target="https://login.consultant.ru/link/?req=doc&amp;base=RLAW049&amp;n=176508&amp;dst=100081" TargetMode="External"/><Relationship Id="rId14" Type="http://schemas.openxmlformats.org/officeDocument/2006/relationships/hyperlink" Target="https://login.consultant.ru/link/?req=doc&amp;base=LAW&amp;n=483036" TargetMode="External"/><Relationship Id="rId15" Type="http://schemas.openxmlformats.org/officeDocument/2006/relationships/hyperlink" Target="https://login.consultant.ru/link/?req=doc&amp;base=RLAW049&amp;n=176508" TargetMode="External"/><Relationship Id="rId16" Type="http://schemas.openxmlformats.org/officeDocument/2006/relationships/hyperlink" Target="https://login.consultant.ru/link/?req=doc&amp;base=LAW&amp;n=482692&amp;dst=101922" TargetMode="External"/><Relationship Id="rId17"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65999" TargetMode="External"/><Relationship Id="rId19" Type="http://schemas.openxmlformats.org/officeDocument/2006/relationships/hyperlink" Target="https://login.consultant.ru/link/?req=doc&amp;base=LAW&amp;n=482899&amp;dst=5769" TargetMode="External"/><Relationship Id="rId20" Type="http://schemas.openxmlformats.org/officeDocument/2006/relationships/hyperlink" Target="https://login.consultant.ru/link/?req=doc&amp;base=LAW&amp;n=469774&amp;dst=3704" TargetMode="External"/><Relationship Id="rId21" Type="http://schemas.openxmlformats.org/officeDocument/2006/relationships/hyperlink" Target="https://login.consultant.ru/link/?req=doc&amp;base=LAW&amp;n=469774&amp;dst=3722" TargetMode="External"/><Relationship Id="rId22" Type="http://schemas.openxmlformats.org/officeDocument/2006/relationships/hyperlink" Target="https://login.consultant.ru/link/?req=doc&amp;base=LAW&amp;n=469774&amp;dst=3704" TargetMode="External"/><Relationship Id="rId23" Type="http://schemas.openxmlformats.org/officeDocument/2006/relationships/hyperlink" Target="https://login.consultant.ru/link/?req=doc&amp;base=LAW&amp;n=469774&amp;dst=3722" TargetMode="External"/><Relationship Id="rId24" Type="http://schemas.openxmlformats.org/officeDocument/2006/relationships/hyperlink" Target="https://login.consultant.ru/link/?req=doc&amp;base=RLAW049&amp;n=174464&amp;dst=13864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Р7-Офис/7.4.0.351</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26.12.2018 N 570-п(ред. от 15.07.2024)&amp;amp;quot;Об утверждении государственной программы Новосибирской области &amp;amp;quot;Развитие институтов региональной политики и гражданского общества в Новосибирской области&amp;amp;quot;</dc:title>
  <dc:creator/>
  <cp:lastModifiedBy/>
</cp:coreProperties>
</file>